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17F80" w14:textId="7AD6136E" w:rsidR="00F12BC1" w:rsidRDefault="00F12BC1">
      <w:pPr>
        <w:widowControl w:val="0"/>
        <w:pBdr>
          <w:top w:val="nil"/>
          <w:left w:val="nil"/>
          <w:bottom w:val="nil"/>
          <w:right w:val="nil"/>
          <w:between w:val="nil"/>
        </w:pBdr>
        <w:spacing w:line="276" w:lineRule="auto"/>
        <w:rPr>
          <w:rFonts w:ascii="Arial" w:eastAsia="Arial" w:hAnsi="Arial" w:cs="Arial"/>
          <w:color w:val="000000"/>
        </w:rPr>
      </w:pPr>
    </w:p>
    <w:tbl>
      <w:tblPr>
        <w:tblStyle w:val="a2"/>
        <w:tblW w:w="10695"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0"/>
        <w:gridCol w:w="7425"/>
      </w:tblGrid>
      <w:tr w:rsidR="00F12BC1" w14:paraId="088DFA71" w14:textId="77777777">
        <w:trPr>
          <w:trHeight w:val="1441"/>
        </w:trPr>
        <w:tc>
          <w:tcPr>
            <w:tcW w:w="3270" w:type="dxa"/>
            <w:tcBorders>
              <w:bottom w:val="single" w:sz="4" w:space="0" w:color="000000"/>
            </w:tcBorders>
          </w:tcPr>
          <w:p w14:paraId="1B553828" w14:textId="10D7673B" w:rsidR="00F12BC1" w:rsidRDefault="000A4F4E">
            <w:pPr>
              <w:pBdr>
                <w:top w:val="nil"/>
                <w:left w:val="nil"/>
                <w:bottom w:val="nil"/>
                <w:right w:val="nil"/>
                <w:between w:val="nil"/>
              </w:pBdr>
            </w:pPr>
            <w:r>
              <w:rPr>
                <w:noProof/>
              </w:rPr>
              <w:drawing>
                <wp:inline distT="0" distB="0" distL="0" distR="0" wp14:anchorId="3762E080" wp14:editId="3D4DC175">
                  <wp:extent cx="2062229" cy="935355"/>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062229" cy="935355"/>
                          </a:xfrm>
                          <a:prstGeom prst="rect">
                            <a:avLst/>
                          </a:prstGeom>
                          <a:ln/>
                        </pic:spPr>
                      </pic:pic>
                    </a:graphicData>
                  </a:graphic>
                </wp:inline>
              </w:drawing>
            </w:r>
          </w:p>
        </w:tc>
        <w:tc>
          <w:tcPr>
            <w:tcW w:w="7425" w:type="dxa"/>
            <w:vMerge w:val="restart"/>
          </w:tcPr>
          <w:p w14:paraId="2F58042A" w14:textId="77777777" w:rsidR="00F12BC1" w:rsidRDefault="00F12BC1">
            <w:pPr>
              <w:pBdr>
                <w:top w:val="nil"/>
                <w:left w:val="nil"/>
                <w:bottom w:val="nil"/>
                <w:right w:val="nil"/>
                <w:between w:val="nil"/>
              </w:pBdr>
            </w:pPr>
          </w:p>
          <w:p w14:paraId="5EA48A7C" w14:textId="77777777" w:rsidR="009062DE" w:rsidRPr="00421C7F" w:rsidRDefault="009062DE">
            <w:pPr>
              <w:pBdr>
                <w:top w:val="nil"/>
                <w:left w:val="nil"/>
                <w:bottom w:val="nil"/>
                <w:right w:val="nil"/>
                <w:between w:val="nil"/>
              </w:pBdr>
              <w:rPr>
                <w:b/>
                <w:sz w:val="24"/>
              </w:rPr>
            </w:pPr>
            <w:r w:rsidRPr="00421C7F">
              <w:rPr>
                <w:b/>
                <w:sz w:val="24"/>
              </w:rPr>
              <w:t>Materials/Environmental Scientist – KTP Associate</w:t>
            </w:r>
          </w:p>
          <w:p w14:paraId="69619EF8" w14:textId="77777777" w:rsidR="009062DE" w:rsidRDefault="009062DE">
            <w:pPr>
              <w:pBdr>
                <w:top w:val="nil"/>
                <w:left w:val="nil"/>
                <w:bottom w:val="nil"/>
                <w:right w:val="nil"/>
                <w:between w:val="nil"/>
              </w:pBdr>
            </w:pPr>
          </w:p>
          <w:p w14:paraId="611C8DD2" w14:textId="2EED1AD1" w:rsidR="00F12BC1" w:rsidRDefault="000A4F4E">
            <w:pPr>
              <w:pBdr>
                <w:top w:val="nil"/>
                <w:left w:val="nil"/>
                <w:bottom w:val="nil"/>
                <w:right w:val="nil"/>
                <w:between w:val="nil"/>
              </w:pBdr>
            </w:pPr>
            <w:r w:rsidRPr="00421C7F">
              <w:rPr>
                <w:b/>
              </w:rPr>
              <w:t>Salary:</w:t>
            </w:r>
            <w:r w:rsidR="00421C7F">
              <w:t xml:space="preserve"> </w:t>
            </w:r>
            <w:r w:rsidR="009062DE" w:rsidRPr="00421C7F">
              <w:rPr>
                <w:szCs w:val="20"/>
              </w:rPr>
              <w:t>32.500 to 35,000</w:t>
            </w:r>
            <w:r w:rsidRPr="00421C7F">
              <w:rPr>
                <w:szCs w:val="20"/>
              </w:rPr>
              <w:t xml:space="preserve"> pa</w:t>
            </w:r>
            <w:r w:rsidRPr="00421C7F">
              <w:rPr>
                <w:sz w:val="24"/>
              </w:rPr>
              <w:t xml:space="preserve"> </w:t>
            </w:r>
            <w:r>
              <w:t>plus personal training budget</w:t>
            </w:r>
          </w:p>
          <w:p w14:paraId="1F79A98D" w14:textId="53ACA15A" w:rsidR="00F12BC1" w:rsidRDefault="00421C7F">
            <w:pPr>
              <w:pBdr>
                <w:top w:val="nil"/>
                <w:left w:val="nil"/>
                <w:bottom w:val="nil"/>
                <w:right w:val="nil"/>
                <w:between w:val="nil"/>
              </w:pBdr>
            </w:pPr>
            <w:r w:rsidRPr="00421C7F">
              <w:rPr>
                <w:b/>
              </w:rPr>
              <w:t>Employment type:</w:t>
            </w:r>
            <w:r>
              <w:t xml:space="preserve"> </w:t>
            </w:r>
            <w:r w:rsidR="000A4F4E">
              <w:t xml:space="preserve">Fixed-term contract for </w:t>
            </w:r>
            <w:r w:rsidR="009062DE">
              <w:t>36</w:t>
            </w:r>
            <w:r>
              <w:t xml:space="preserve"> </w:t>
            </w:r>
            <w:r w:rsidR="000A4F4E">
              <w:t>months</w:t>
            </w:r>
          </w:p>
          <w:p w14:paraId="196A4E28" w14:textId="592A9C0A" w:rsidR="00F12BC1" w:rsidRDefault="00790FBC">
            <w:pPr>
              <w:pBdr>
                <w:top w:val="nil"/>
                <w:left w:val="nil"/>
                <w:bottom w:val="nil"/>
                <w:right w:val="nil"/>
                <w:between w:val="nil"/>
              </w:pBdr>
            </w:pPr>
            <w:bookmarkStart w:id="0" w:name="_heading=h.gjdgxs" w:colFirst="0" w:colLast="0"/>
            <w:bookmarkEnd w:id="0"/>
            <w:r w:rsidRPr="00421C7F">
              <w:rPr>
                <w:b/>
              </w:rPr>
              <w:t>Reference:</w:t>
            </w:r>
            <w:r w:rsidR="006C39DD">
              <w:t xml:space="preserve"> </w:t>
            </w:r>
            <w:r w:rsidR="00421C7F" w:rsidRPr="00421C7F">
              <w:rPr>
                <w:rFonts w:asciiTheme="minorHAnsi" w:hAnsiTheme="minorHAnsi" w:cstheme="minorHAnsi"/>
                <w:color w:val="202124"/>
                <w:szCs w:val="21"/>
                <w:shd w:val="clear" w:color="auto" w:fill="FFFFFF"/>
              </w:rPr>
              <w:t>ZZ</w:t>
            </w:r>
            <w:r w:rsidR="00421C7F">
              <w:rPr>
                <w:rFonts w:asciiTheme="minorHAnsi" w:hAnsiTheme="minorHAnsi" w:cstheme="minorHAnsi"/>
                <w:color w:val="202124"/>
                <w:szCs w:val="21"/>
                <w:shd w:val="clear" w:color="auto" w:fill="FFFFFF"/>
              </w:rPr>
              <w:t>008168</w:t>
            </w:r>
          </w:p>
          <w:p w14:paraId="1E451665" w14:textId="6FAC9C47" w:rsidR="00F12BC1" w:rsidRPr="00790FBC" w:rsidRDefault="000A4F4E">
            <w:pPr>
              <w:pBdr>
                <w:top w:val="nil"/>
                <w:left w:val="nil"/>
                <w:bottom w:val="nil"/>
                <w:right w:val="nil"/>
                <w:between w:val="nil"/>
              </w:pBdr>
            </w:pPr>
            <w:r w:rsidRPr="00421C7F">
              <w:rPr>
                <w:b/>
              </w:rPr>
              <w:t>Closing Date:</w:t>
            </w:r>
            <w:r>
              <w:t xml:space="preserve"> </w:t>
            </w:r>
            <w:r w:rsidR="009062DE">
              <w:t>26</w:t>
            </w:r>
            <w:r w:rsidR="00421C7F">
              <w:t>.</w:t>
            </w:r>
            <w:r w:rsidRPr="00790FBC">
              <w:t>0</w:t>
            </w:r>
            <w:r w:rsidR="009062DE">
              <w:t>2</w:t>
            </w:r>
            <w:r w:rsidR="00421C7F">
              <w:t>.</w:t>
            </w:r>
            <w:r w:rsidRPr="00790FBC">
              <w:t>2023</w:t>
            </w:r>
            <w:bookmarkStart w:id="1" w:name="_GoBack"/>
            <w:bookmarkEnd w:id="1"/>
          </w:p>
          <w:p w14:paraId="5B78ED91" w14:textId="4BF43BC4" w:rsidR="000A4F4E" w:rsidRDefault="000A4F4E" w:rsidP="009062DE">
            <w:pPr>
              <w:pBdr>
                <w:top w:val="nil"/>
                <w:left w:val="nil"/>
                <w:bottom w:val="nil"/>
                <w:right w:val="nil"/>
                <w:between w:val="nil"/>
              </w:pBdr>
            </w:pPr>
            <w:r w:rsidRPr="00421C7F">
              <w:rPr>
                <w:b/>
              </w:rPr>
              <w:t>Interview Date:</w:t>
            </w:r>
            <w:r w:rsidRPr="00790FBC">
              <w:t xml:space="preserve"> </w:t>
            </w:r>
            <w:r w:rsidR="009062DE">
              <w:t>Week Commencing 6</w:t>
            </w:r>
            <w:r w:rsidR="009062DE" w:rsidRPr="009062DE">
              <w:rPr>
                <w:vertAlign w:val="superscript"/>
              </w:rPr>
              <w:t>th</w:t>
            </w:r>
            <w:r w:rsidR="009062DE">
              <w:t xml:space="preserve"> March 2023</w:t>
            </w:r>
          </w:p>
          <w:p w14:paraId="493EBB74" w14:textId="77777777" w:rsidR="00F12BC1" w:rsidRDefault="00F12BC1">
            <w:pPr>
              <w:pBdr>
                <w:top w:val="nil"/>
                <w:left w:val="nil"/>
                <w:bottom w:val="nil"/>
                <w:right w:val="nil"/>
                <w:between w:val="nil"/>
              </w:pBdr>
            </w:pPr>
          </w:p>
          <w:p w14:paraId="7935D968" w14:textId="042DA3D1" w:rsidR="006C091F" w:rsidRDefault="000A4F4E">
            <w:pPr>
              <w:pBdr>
                <w:top w:val="nil"/>
                <w:left w:val="nil"/>
                <w:bottom w:val="nil"/>
                <w:right w:val="nil"/>
                <w:between w:val="nil"/>
              </w:pBdr>
            </w:pPr>
            <w:r>
              <w:t xml:space="preserve">The University of Portsmouth, in collaboration with </w:t>
            </w:r>
            <w:r w:rsidR="009062DE">
              <w:t xml:space="preserve">Fortis IBA Ltd </w:t>
            </w:r>
            <w:r>
              <w:t xml:space="preserve">is seeking an innovative and motivated graduate to </w:t>
            </w:r>
            <w:r w:rsidR="009062DE" w:rsidRPr="009062DE">
              <w:t xml:space="preserve">lead and manage the development of sustainable higher-value precast concrete products using </w:t>
            </w:r>
            <w:r w:rsidR="00015713">
              <w:t>Inc</w:t>
            </w:r>
            <w:r w:rsidR="006C091F">
              <w:t>in</w:t>
            </w:r>
            <w:r w:rsidR="00015713">
              <w:t>erator Bottom Ash IBA)</w:t>
            </w:r>
            <w:r w:rsidR="00C63468">
              <w:t xml:space="preserve"> </w:t>
            </w:r>
            <w:r w:rsidR="00015713">
              <w:t>Aggregate</w:t>
            </w:r>
            <w:r w:rsidR="00087422">
              <w:t xml:space="preserve">. </w:t>
            </w:r>
          </w:p>
          <w:p w14:paraId="553404E4" w14:textId="33B6D07B" w:rsidR="007F63DD" w:rsidRDefault="00835DAE">
            <w:pPr>
              <w:pBdr>
                <w:top w:val="nil"/>
                <w:left w:val="nil"/>
                <w:bottom w:val="nil"/>
                <w:right w:val="nil"/>
                <w:between w:val="nil"/>
              </w:pBdr>
              <w:rPr>
                <w:b/>
              </w:rPr>
            </w:pPr>
            <w:r>
              <w:t xml:space="preserve">The </w:t>
            </w:r>
            <w:r w:rsidR="00DD33D0">
              <w:t xml:space="preserve">product will offer a </w:t>
            </w:r>
            <w:r>
              <w:t xml:space="preserve">more </w:t>
            </w:r>
            <w:r w:rsidR="00DD33D0">
              <w:t>sustainable alternative to traditional precast concrete products, generating</w:t>
            </w:r>
            <w:r>
              <w:t xml:space="preserve"> less </w:t>
            </w:r>
            <w:r w:rsidR="00DD33D0">
              <w:t>carbon emissions and reduc</w:t>
            </w:r>
            <w:r>
              <w:t>ing</w:t>
            </w:r>
            <w:r w:rsidR="00DD33D0">
              <w:t xml:space="preserve"> the burden on the world’s natural resources, </w:t>
            </w:r>
            <w:r>
              <w:t xml:space="preserve">its production will also form a key part of the circular economy.  </w:t>
            </w:r>
            <w:r w:rsidR="009062DE" w:rsidRPr="009062DE">
              <w:t xml:space="preserve">The Associate will also establish new markets for the precast concrete products.    </w:t>
            </w:r>
          </w:p>
          <w:p w14:paraId="47AC8E19" w14:textId="77777777" w:rsidR="007F63DD" w:rsidRDefault="007F63DD">
            <w:pPr>
              <w:pBdr>
                <w:top w:val="nil"/>
                <w:left w:val="nil"/>
                <w:bottom w:val="nil"/>
                <w:right w:val="nil"/>
                <w:between w:val="nil"/>
              </w:pBdr>
              <w:rPr>
                <w:b/>
              </w:rPr>
            </w:pPr>
          </w:p>
          <w:p w14:paraId="41D424CE" w14:textId="77777777" w:rsidR="00F12BC1" w:rsidRDefault="000A4F4E">
            <w:pPr>
              <w:pBdr>
                <w:top w:val="nil"/>
                <w:left w:val="nil"/>
                <w:bottom w:val="nil"/>
                <w:right w:val="nil"/>
                <w:between w:val="nil"/>
              </w:pBdr>
              <w:rPr>
                <w:b/>
              </w:rPr>
            </w:pPr>
            <w:r>
              <w:rPr>
                <w:b/>
              </w:rPr>
              <w:t>The Company</w:t>
            </w:r>
          </w:p>
          <w:p w14:paraId="46CD7713" w14:textId="2A0E208B" w:rsidR="006C091F" w:rsidRDefault="006C091F">
            <w:pPr>
              <w:pBdr>
                <w:top w:val="nil"/>
                <w:left w:val="nil"/>
                <w:bottom w:val="nil"/>
                <w:right w:val="nil"/>
                <w:between w:val="nil"/>
              </w:pBdr>
            </w:pPr>
          </w:p>
          <w:p w14:paraId="588A30EF" w14:textId="202044C7" w:rsidR="006C091F" w:rsidRDefault="006C091F">
            <w:pPr>
              <w:pBdr>
                <w:top w:val="nil"/>
                <w:left w:val="nil"/>
                <w:bottom w:val="nil"/>
                <w:right w:val="nil"/>
                <w:between w:val="nil"/>
              </w:pBdr>
            </w:pPr>
            <w:r>
              <w:t>Fortis are leaders in processing IBA which is produced from energy-from-waste facilities from non-recyclable domestic waste.</w:t>
            </w:r>
          </w:p>
          <w:p w14:paraId="2D9202C9" w14:textId="77777777" w:rsidR="00015713" w:rsidRDefault="00015713">
            <w:pPr>
              <w:pBdr>
                <w:top w:val="nil"/>
                <w:left w:val="nil"/>
                <w:bottom w:val="nil"/>
                <w:right w:val="nil"/>
                <w:between w:val="nil"/>
              </w:pBdr>
            </w:pPr>
          </w:p>
          <w:p w14:paraId="46A0F446" w14:textId="3FCAA0FD" w:rsidR="00015713" w:rsidRDefault="006C091F">
            <w:pPr>
              <w:pBdr>
                <w:top w:val="nil"/>
                <w:left w:val="nil"/>
                <w:bottom w:val="nil"/>
                <w:right w:val="nil"/>
                <w:between w:val="nil"/>
              </w:pBdr>
            </w:pPr>
            <w:r>
              <w:t>Fortis</w:t>
            </w:r>
            <w:r w:rsidR="00015713" w:rsidRPr="00015713">
              <w:t xml:space="preserve"> recover</w:t>
            </w:r>
            <w:r w:rsidR="00015713">
              <w:t>s</w:t>
            </w:r>
            <w:r w:rsidR="00015713" w:rsidRPr="00015713">
              <w:t xml:space="preserve"> ferrous and non-ferrous metals </w:t>
            </w:r>
            <w:r w:rsidR="00015713">
              <w:t xml:space="preserve">from the IBA </w:t>
            </w:r>
            <w:r w:rsidR="00015713" w:rsidRPr="00015713">
              <w:t>which are re-used worldwide to relieve the burden on mass extraction of low yielding virgin metal ores</w:t>
            </w:r>
            <w:r w:rsidR="00015713">
              <w:t>.</w:t>
            </w:r>
          </w:p>
          <w:p w14:paraId="4ED73A58" w14:textId="77777777" w:rsidR="00015713" w:rsidRDefault="00015713">
            <w:pPr>
              <w:pBdr>
                <w:top w:val="nil"/>
                <w:left w:val="nil"/>
                <w:bottom w:val="nil"/>
                <w:right w:val="nil"/>
                <w:between w:val="nil"/>
              </w:pBdr>
            </w:pPr>
          </w:p>
          <w:p w14:paraId="50675F63" w14:textId="77777777" w:rsidR="00015713" w:rsidRDefault="00015713">
            <w:pPr>
              <w:pBdr>
                <w:top w:val="nil"/>
                <w:left w:val="nil"/>
                <w:bottom w:val="nil"/>
                <w:right w:val="nil"/>
                <w:between w:val="nil"/>
              </w:pBdr>
            </w:pPr>
            <w:r>
              <w:t xml:space="preserve">This process generates a resource called IBA Aggregate (marketed as Fortistone®) which is used as a sustainable alternative to primary aggregates within the construction industry to reduce reliance on natural resources.   </w:t>
            </w:r>
          </w:p>
          <w:p w14:paraId="573E108B" w14:textId="77777777" w:rsidR="00015713" w:rsidRDefault="00015713">
            <w:pPr>
              <w:pBdr>
                <w:top w:val="nil"/>
                <w:left w:val="nil"/>
                <w:bottom w:val="nil"/>
                <w:right w:val="nil"/>
                <w:between w:val="nil"/>
              </w:pBdr>
            </w:pPr>
          </w:p>
          <w:p w14:paraId="06509776" w14:textId="51C34784" w:rsidR="00015713" w:rsidRDefault="00015713">
            <w:pPr>
              <w:pBdr>
                <w:top w:val="nil"/>
                <w:left w:val="nil"/>
                <w:bottom w:val="nil"/>
                <w:right w:val="nil"/>
                <w:between w:val="nil"/>
              </w:pBdr>
            </w:pPr>
            <w:r w:rsidRPr="00015713">
              <w:t>IBA Aggregate has a key part to play in providing the building blocks for highways and construction projects as well as being part of the solution for the country’s waste</w:t>
            </w:r>
            <w:r w:rsidR="006C091F">
              <w:t>.</w:t>
            </w:r>
          </w:p>
          <w:p w14:paraId="7C060B27" w14:textId="77777777" w:rsidR="00015713" w:rsidRDefault="00015713">
            <w:pPr>
              <w:pBdr>
                <w:top w:val="nil"/>
                <w:left w:val="nil"/>
                <w:bottom w:val="nil"/>
                <w:right w:val="nil"/>
                <w:between w:val="nil"/>
              </w:pBdr>
            </w:pPr>
          </w:p>
          <w:p w14:paraId="321E158F" w14:textId="0768D6BA" w:rsidR="009062DE" w:rsidRDefault="009062DE">
            <w:pPr>
              <w:pBdr>
                <w:top w:val="nil"/>
                <w:left w:val="nil"/>
                <w:bottom w:val="nil"/>
                <w:right w:val="nil"/>
                <w:between w:val="nil"/>
              </w:pBdr>
            </w:pPr>
            <w:r>
              <w:t xml:space="preserve">For more information: </w:t>
            </w:r>
            <w:hyperlink r:id="rId7" w:history="1">
              <w:r w:rsidRPr="00865D0B">
                <w:rPr>
                  <w:rStyle w:val="Hyperlink"/>
                </w:rPr>
                <w:t>https://fortisiba.com/</w:t>
              </w:r>
            </w:hyperlink>
          </w:p>
          <w:p w14:paraId="472DE56B" w14:textId="77777777" w:rsidR="009062DE" w:rsidRDefault="009062DE">
            <w:pPr>
              <w:pBdr>
                <w:top w:val="nil"/>
                <w:left w:val="nil"/>
                <w:bottom w:val="nil"/>
                <w:right w:val="nil"/>
                <w:between w:val="nil"/>
              </w:pBdr>
            </w:pPr>
          </w:p>
          <w:p w14:paraId="46C704E0" w14:textId="1DB00791" w:rsidR="00F12BC1" w:rsidRDefault="000A4F4E">
            <w:pPr>
              <w:pBdr>
                <w:top w:val="nil"/>
                <w:left w:val="nil"/>
                <w:bottom w:val="nil"/>
                <w:right w:val="nil"/>
                <w:between w:val="nil"/>
              </w:pBdr>
              <w:rPr>
                <w:b/>
              </w:rPr>
            </w:pPr>
            <w:r>
              <w:rPr>
                <w:b/>
              </w:rPr>
              <w:t>The Project</w:t>
            </w:r>
          </w:p>
          <w:p w14:paraId="051EFFD3" w14:textId="77777777" w:rsidR="00421C7F" w:rsidRDefault="00421C7F">
            <w:pPr>
              <w:pBdr>
                <w:top w:val="nil"/>
                <w:left w:val="nil"/>
                <w:bottom w:val="nil"/>
                <w:right w:val="nil"/>
                <w:between w:val="nil"/>
              </w:pBdr>
              <w:rPr>
                <w:b/>
              </w:rPr>
            </w:pPr>
          </w:p>
          <w:p w14:paraId="79D126BE" w14:textId="77777777" w:rsidR="00C63468" w:rsidRDefault="00C63468" w:rsidP="00C63468">
            <w:pPr>
              <w:pBdr>
                <w:top w:val="nil"/>
                <w:left w:val="nil"/>
                <w:bottom w:val="nil"/>
                <w:right w:val="nil"/>
                <w:between w:val="nil"/>
              </w:pBdr>
            </w:pPr>
            <w:r>
              <w:t>The objective of this KTP is to establish a circular economy for household waste by utilising incinerator bottom ash aggregate (IBAA) to produce sustainable zero-carbon cementitious products for the construction/housing industry.</w:t>
            </w:r>
          </w:p>
          <w:p w14:paraId="67C83CCF" w14:textId="77777777" w:rsidR="00C63468" w:rsidRDefault="00C63468" w:rsidP="00C63468">
            <w:pPr>
              <w:pBdr>
                <w:top w:val="nil"/>
                <w:left w:val="nil"/>
                <w:bottom w:val="nil"/>
                <w:right w:val="nil"/>
                <w:between w:val="nil"/>
              </w:pBdr>
            </w:pPr>
          </w:p>
          <w:p w14:paraId="771A638C" w14:textId="5C026174" w:rsidR="00C63468" w:rsidRDefault="00C63468">
            <w:pPr>
              <w:pBdr>
                <w:top w:val="nil"/>
                <w:left w:val="nil"/>
                <w:bottom w:val="nil"/>
                <w:right w:val="nil"/>
                <w:between w:val="nil"/>
              </w:pBdr>
            </w:pPr>
            <w:r>
              <w:t>You will be joining a friendly team based at the company in Portsmouth. In the role, you will be actively supported by knowledge transfer specialists with expertise in material sciences and environmental monitoring at the University of Portsmouth.</w:t>
            </w:r>
          </w:p>
          <w:p w14:paraId="59FA29B4" w14:textId="77777777" w:rsidR="00C63468" w:rsidRDefault="00C63468">
            <w:pPr>
              <w:pBdr>
                <w:top w:val="nil"/>
                <w:left w:val="nil"/>
                <w:bottom w:val="nil"/>
                <w:right w:val="nil"/>
                <w:between w:val="nil"/>
              </w:pBdr>
            </w:pPr>
          </w:p>
          <w:p w14:paraId="32BF1D19" w14:textId="77777777" w:rsidR="00F12BC1" w:rsidRDefault="000A4F4E">
            <w:pPr>
              <w:pBdr>
                <w:top w:val="nil"/>
                <w:left w:val="nil"/>
                <w:bottom w:val="nil"/>
                <w:right w:val="nil"/>
                <w:between w:val="nil"/>
              </w:pBdr>
              <w:rPr>
                <w:b/>
              </w:rPr>
            </w:pPr>
            <w:r>
              <w:rPr>
                <w:b/>
              </w:rPr>
              <w:lastRenderedPageBreak/>
              <w:t>The Role</w:t>
            </w:r>
          </w:p>
          <w:p w14:paraId="68CC164E" w14:textId="77777777" w:rsidR="00F12BC1" w:rsidRDefault="00F12BC1">
            <w:pPr>
              <w:pBdr>
                <w:top w:val="nil"/>
                <w:left w:val="nil"/>
                <w:bottom w:val="nil"/>
                <w:right w:val="nil"/>
                <w:between w:val="nil"/>
              </w:pBdr>
              <w:rPr>
                <w:b/>
              </w:rPr>
            </w:pPr>
          </w:p>
          <w:p w14:paraId="1C15EBBB" w14:textId="77777777" w:rsidR="00C63468" w:rsidRDefault="00C63468" w:rsidP="00C63468">
            <w:pPr>
              <w:pBdr>
                <w:top w:val="nil"/>
                <w:left w:val="nil"/>
                <w:bottom w:val="nil"/>
                <w:right w:val="nil"/>
                <w:between w:val="nil"/>
              </w:pBdr>
            </w:pPr>
            <w:r>
              <w:t>This is an exciting opportunity open to a candidate with a masters or Ph.D. qualification in Civil/Environmental Engineering or Environmental Sciences, or other related areas.</w:t>
            </w:r>
          </w:p>
          <w:p w14:paraId="100125D3" w14:textId="77777777" w:rsidR="00C63468" w:rsidRDefault="00C63468" w:rsidP="00C63468">
            <w:pPr>
              <w:pBdr>
                <w:top w:val="nil"/>
                <w:left w:val="nil"/>
                <w:bottom w:val="nil"/>
                <w:right w:val="nil"/>
                <w:between w:val="nil"/>
              </w:pBdr>
            </w:pPr>
          </w:p>
          <w:p w14:paraId="1714CEAB" w14:textId="77777777" w:rsidR="00C63468" w:rsidRDefault="00C63468" w:rsidP="00C63468">
            <w:pPr>
              <w:pBdr>
                <w:top w:val="nil"/>
                <w:left w:val="nil"/>
                <w:bottom w:val="nil"/>
                <w:right w:val="nil"/>
                <w:between w:val="nil"/>
              </w:pBdr>
            </w:pPr>
            <w:r>
              <w:t xml:space="preserve">The post will provide the individual with an opportunity to make a significant contribution to the company’s innovation policy. </w:t>
            </w:r>
          </w:p>
          <w:p w14:paraId="144946BF" w14:textId="77777777" w:rsidR="00C63468" w:rsidRDefault="00C63468" w:rsidP="00C63468">
            <w:pPr>
              <w:pBdr>
                <w:top w:val="nil"/>
                <w:left w:val="nil"/>
                <w:bottom w:val="nil"/>
                <w:right w:val="nil"/>
                <w:between w:val="nil"/>
              </w:pBdr>
            </w:pPr>
          </w:p>
          <w:p w14:paraId="5C2B7277" w14:textId="58A55E15" w:rsidR="00C63468" w:rsidRDefault="00C63468" w:rsidP="00C63468">
            <w:pPr>
              <w:pBdr>
                <w:top w:val="nil"/>
                <w:left w:val="nil"/>
                <w:bottom w:val="nil"/>
                <w:right w:val="nil"/>
                <w:between w:val="nil"/>
              </w:pBdr>
            </w:pPr>
            <w:r>
              <w:t xml:space="preserve">The successful applicant will be highly motivated and able to demonstrate some previous successful experience in a relevant role.   </w:t>
            </w:r>
          </w:p>
          <w:p w14:paraId="41ACCFE3" w14:textId="77777777" w:rsidR="00421C7F" w:rsidRDefault="00421C7F" w:rsidP="00C63468">
            <w:pPr>
              <w:pBdr>
                <w:top w:val="nil"/>
                <w:left w:val="nil"/>
                <w:bottom w:val="nil"/>
                <w:right w:val="nil"/>
                <w:between w:val="nil"/>
              </w:pBdr>
            </w:pPr>
          </w:p>
          <w:p w14:paraId="17C2D95F" w14:textId="77777777" w:rsidR="00C63468" w:rsidRPr="00C63468" w:rsidRDefault="00C63468" w:rsidP="00C63468">
            <w:pPr>
              <w:pBdr>
                <w:top w:val="nil"/>
                <w:left w:val="nil"/>
                <w:bottom w:val="nil"/>
                <w:right w:val="nil"/>
                <w:between w:val="nil"/>
              </w:pBdr>
              <w:rPr>
                <w:b/>
              </w:rPr>
            </w:pPr>
            <w:r w:rsidRPr="00C63468">
              <w:rPr>
                <w:b/>
              </w:rPr>
              <w:t>How to Apply</w:t>
            </w:r>
          </w:p>
          <w:p w14:paraId="144DA9B1" w14:textId="2919BFBF" w:rsidR="00C63468" w:rsidRDefault="00C63468" w:rsidP="00C63468">
            <w:pPr>
              <w:pBdr>
                <w:top w:val="nil"/>
                <w:left w:val="nil"/>
                <w:bottom w:val="nil"/>
                <w:right w:val="nil"/>
                <w:between w:val="nil"/>
              </w:pBdr>
            </w:pPr>
            <w:r>
              <w:t xml:space="preserve">For an application form, full job description and further details please visit https://port.engageats.co.uk/. Potential candidates are invited to contact </w:t>
            </w:r>
            <w:proofErr w:type="spellStart"/>
            <w:r>
              <w:t>Dr.</w:t>
            </w:r>
            <w:proofErr w:type="spellEnd"/>
            <w:r>
              <w:t xml:space="preserve"> Muhammad Ali</w:t>
            </w:r>
          </w:p>
          <w:p w14:paraId="4945745D" w14:textId="0AC35F5A" w:rsidR="00F12BC1" w:rsidRDefault="00F12BC1">
            <w:pPr>
              <w:pBdr>
                <w:top w:val="nil"/>
                <w:left w:val="nil"/>
                <w:bottom w:val="nil"/>
                <w:right w:val="nil"/>
                <w:between w:val="nil"/>
              </w:pBdr>
            </w:pPr>
          </w:p>
        </w:tc>
      </w:tr>
      <w:tr w:rsidR="00F12BC1" w14:paraId="71717265" w14:textId="77777777">
        <w:trPr>
          <w:trHeight w:val="257"/>
        </w:trPr>
        <w:tc>
          <w:tcPr>
            <w:tcW w:w="3270" w:type="dxa"/>
            <w:tcBorders>
              <w:bottom w:val="nil"/>
            </w:tcBorders>
          </w:tcPr>
          <w:p w14:paraId="49CD6EAF" w14:textId="667A6628" w:rsidR="00F12BC1" w:rsidRDefault="00015713">
            <w:pPr>
              <w:pBdr>
                <w:top w:val="nil"/>
                <w:left w:val="nil"/>
                <w:bottom w:val="nil"/>
                <w:right w:val="nil"/>
                <w:between w:val="nil"/>
              </w:pBdr>
            </w:pPr>
            <w:r>
              <w:rPr>
                <w:noProof/>
              </w:rPr>
              <w:drawing>
                <wp:anchor distT="0" distB="0" distL="114300" distR="114300" simplePos="0" relativeHeight="251658240" behindDoc="0" locked="0" layoutInCell="1" allowOverlap="1" wp14:anchorId="34DFB00E" wp14:editId="69153A82">
                  <wp:simplePos x="0" y="0"/>
                  <wp:positionH relativeFrom="column">
                    <wp:posOffset>-2744</wp:posOffset>
                  </wp:positionH>
                  <wp:positionV relativeFrom="paragraph">
                    <wp:posOffset>83485</wp:posOffset>
                  </wp:positionV>
                  <wp:extent cx="1932317" cy="65658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868" cy="66051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25" w:type="dxa"/>
            <w:vMerge/>
          </w:tcPr>
          <w:p w14:paraId="691BFACD" w14:textId="77777777" w:rsidR="00F12BC1" w:rsidRDefault="00F12BC1">
            <w:pPr>
              <w:widowControl w:val="0"/>
              <w:pBdr>
                <w:top w:val="nil"/>
                <w:left w:val="nil"/>
                <w:bottom w:val="nil"/>
                <w:right w:val="nil"/>
                <w:between w:val="nil"/>
              </w:pBdr>
              <w:spacing w:line="276" w:lineRule="auto"/>
            </w:pPr>
          </w:p>
        </w:tc>
      </w:tr>
      <w:tr w:rsidR="00F12BC1" w14:paraId="49EE612A" w14:textId="77777777">
        <w:trPr>
          <w:trHeight w:val="1217"/>
        </w:trPr>
        <w:tc>
          <w:tcPr>
            <w:tcW w:w="3270" w:type="dxa"/>
            <w:tcBorders>
              <w:top w:val="nil"/>
              <w:bottom w:val="single" w:sz="4" w:space="0" w:color="000000"/>
            </w:tcBorders>
          </w:tcPr>
          <w:p w14:paraId="283E8A6C" w14:textId="4BEC5747" w:rsidR="00F12BC1" w:rsidRDefault="00F12BC1">
            <w:pPr>
              <w:pBdr>
                <w:top w:val="nil"/>
                <w:left w:val="nil"/>
                <w:bottom w:val="nil"/>
                <w:right w:val="nil"/>
                <w:between w:val="nil"/>
              </w:pBdr>
            </w:pPr>
          </w:p>
          <w:p w14:paraId="02512349" w14:textId="77777777" w:rsidR="00F12BC1" w:rsidRDefault="00F12BC1">
            <w:pPr>
              <w:pBdr>
                <w:top w:val="nil"/>
                <w:left w:val="nil"/>
                <w:bottom w:val="nil"/>
                <w:right w:val="nil"/>
                <w:between w:val="nil"/>
              </w:pBdr>
            </w:pPr>
          </w:p>
        </w:tc>
        <w:tc>
          <w:tcPr>
            <w:tcW w:w="7425" w:type="dxa"/>
            <w:vMerge/>
          </w:tcPr>
          <w:p w14:paraId="7DC35705" w14:textId="77777777" w:rsidR="00F12BC1" w:rsidRDefault="00F12BC1">
            <w:pPr>
              <w:widowControl w:val="0"/>
              <w:pBdr>
                <w:top w:val="nil"/>
                <w:left w:val="nil"/>
                <w:bottom w:val="nil"/>
                <w:right w:val="nil"/>
                <w:between w:val="nil"/>
              </w:pBdr>
              <w:spacing w:line="276" w:lineRule="auto"/>
            </w:pPr>
          </w:p>
        </w:tc>
      </w:tr>
      <w:tr w:rsidR="00F12BC1" w14:paraId="0CF297C3" w14:textId="77777777">
        <w:trPr>
          <w:trHeight w:val="273"/>
        </w:trPr>
        <w:tc>
          <w:tcPr>
            <w:tcW w:w="3270" w:type="dxa"/>
            <w:tcBorders>
              <w:bottom w:val="nil"/>
            </w:tcBorders>
          </w:tcPr>
          <w:p w14:paraId="59126CE3" w14:textId="77777777" w:rsidR="00F12BC1" w:rsidRDefault="00F12BC1">
            <w:pPr>
              <w:pBdr>
                <w:top w:val="nil"/>
                <w:left w:val="nil"/>
                <w:bottom w:val="nil"/>
                <w:right w:val="nil"/>
                <w:between w:val="nil"/>
              </w:pBdr>
            </w:pPr>
          </w:p>
        </w:tc>
        <w:tc>
          <w:tcPr>
            <w:tcW w:w="7425" w:type="dxa"/>
            <w:vMerge/>
          </w:tcPr>
          <w:p w14:paraId="32E81822" w14:textId="77777777" w:rsidR="00F12BC1" w:rsidRDefault="00F12BC1">
            <w:pPr>
              <w:widowControl w:val="0"/>
              <w:pBdr>
                <w:top w:val="nil"/>
                <w:left w:val="nil"/>
                <w:bottom w:val="nil"/>
                <w:right w:val="nil"/>
                <w:between w:val="nil"/>
              </w:pBdr>
              <w:spacing w:line="276" w:lineRule="auto"/>
            </w:pPr>
          </w:p>
        </w:tc>
      </w:tr>
      <w:tr w:rsidR="00F12BC1" w14:paraId="12EEC4AE" w14:textId="77777777">
        <w:trPr>
          <w:trHeight w:val="804"/>
        </w:trPr>
        <w:tc>
          <w:tcPr>
            <w:tcW w:w="3270" w:type="dxa"/>
            <w:tcBorders>
              <w:top w:val="nil"/>
              <w:bottom w:val="nil"/>
            </w:tcBorders>
          </w:tcPr>
          <w:p w14:paraId="51B4CB49" w14:textId="7C2EEB8E" w:rsidR="00F12BC1" w:rsidRDefault="000A4F4E">
            <w:pPr>
              <w:pBdr>
                <w:top w:val="nil"/>
                <w:left w:val="nil"/>
                <w:bottom w:val="nil"/>
                <w:right w:val="nil"/>
                <w:between w:val="nil"/>
              </w:pBdr>
              <w:jc w:val="center"/>
            </w:pPr>
            <w:r>
              <w:rPr>
                <w:noProof/>
              </w:rPr>
              <w:drawing>
                <wp:inline distT="0" distB="0" distL="0" distR="0" wp14:anchorId="546CF213" wp14:editId="728FB7A3">
                  <wp:extent cx="1692000" cy="403200"/>
                  <wp:effectExtent l="0" t="0" r="0" b="0"/>
                  <wp:docPr id="16" name="image3.png" descr="About | KTN-iX™"/>
                  <wp:cNvGraphicFramePr/>
                  <a:graphic xmlns:a="http://schemas.openxmlformats.org/drawingml/2006/main">
                    <a:graphicData uri="http://schemas.openxmlformats.org/drawingml/2006/picture">
                      <pic:pic xmlns:pic="http://schemas.openxmlformats.org/drawingml/2006/picture">
                        <pic:nvPicPr>
                          <pic:cNvPr id="0" name="image3.png" descr="About | KTN-iX™"/>
                          <pic:cNvPicPr preferRelativeResize="0"/>
                        </pic:nvPicPr>
                        <pic:blipFill>
                          <a:blip r:embed="rId9"/>
                          <a:srcRect/>
                          <a:stretch>
                            <a:fillRect/>
                          </a:stretch>
                        </pic:blipFill>
                        <pic:spPr>
                          <a:xfrm>
                            <a:off x="0" y="0"/>
                            <a:ext cx="1692000" cy="403200"/>
                          </a:xfrm>
                          <a:prstGeom prst="rect">
                            <a:avLst/>
                          </a:prstGeom>
                          <a:ln/>
                        </pic:spPr>
                      </pic:pic>
                    </a:graphicData>
                  </a:graphic>
                </wp:inline>
              </w:drawing>
            </w:r>
          </w:p>
        </w:tc>
        <w:tc>
          <w:tcPr>
            <w:tcW w:w="7425" w:type="dxa"/>
            <w:vMerge/>
          </w:tcPr>
          <w:p w14:paraId="1FE7993F" w14:textId="77777777" w:rsidR="00F12BC1" w:rsidRDefault="00F12BC1">
            <w:pPr>
              <w:widowControl w:val="0"/>
              <w:pBdr>
                <w:top w:val="nil"/>
                <w:left w:val="nil"/>
                <w:bottom w:val="nil"/>
                <w:right w:val="nil"/>
                <w:between w:val="nil"/>
              </w:pBdr>
              <w:spacing w:line="276" w:lineRule="auto"/>
            </w:pPr>
          </w:p>
        </w:tc>
      </w:tr>
      <w:tr w:rsidR="00F12BC1" w14:paraId="4B51D109" w14:textId="77777777">
        <w:trPr>
          <w:trHeight w:val="273"/>
        </w:trPr>
        <w:tc>
          <w:tcPr>
            <w:tcW w:w="3270" w:type="dxa"/>
            <w:tcBorders>
              <w:top w:val="nil"/>
              <w:bottom w:val="single" w:sz="4" w:space="0" w:color="000000"/>
            </w:tcBorders>
          </w:tcPr>
          <w:p w14:paraId="6CFC02ED" w14:textId="77777777" w:rsidR="00F12BC1" w:rsidRDefault="00F12BC1">
            <w:pPr>
              <w:pBdr>
                <w:top w:val="nil"/>
                <w:left w:val="nil"/>
                <w:bottom w:val="nil"/>
                <w:right w:val="nil"/>
                <w:between w:val="nil"/>
              </w:pBdr>
            </w:pPr>
          </w:p>
        </w:tc>
        <w:tc>
          <w:tcPr>
            <w:tcW w:w="7425" w:type="dxa"/>
            <w:vMerge/>
          </w:tcPr>
          <w:p w14:paraId="1B093563" w14:textId="77777777" w:rsidR="00F12BC1" w:rsidRDefault="00F12BC1">
            <w:pPr>
              <w:widowControl w:val="0"/>
              <w:pBdr>
                <w:top w:val="nil"/>
                <w:left w:val="nil"/>
                <w:bottom w:val="nil"/>
                <w:right w:val="nil"/>
                <w:between w:val="nil"/>
              </w:pBdr>
              <w:spacing w:line="276" w:lineRule="auto"/>
            </w:pPr>
          </w:p>
        </w:tc>
      </w:tr>
      <w:tr w:rsidR="00F12BC1" w14:paraId="7E4D09A6" w14:textId="77777777">
        <w:trPr>
          <w:trHeight w:val="257"/>
        </w:trPr>
        <w:tc>
          <w:tcPr>
            <w:tcW w:w="3270" w:type="dxa"/>
            <w:tcBorders>
              <w:top w:val="single" w:sz="4" w:space="0" w:color="000000"/>
              <w:bottom w:val="nil"/>
            </w:tcBorders>
          </w:tcPr>
          <w:p w14:paraId="1CCD1758" w14:textId="77777777" w:rsidR="00F12BC1" w:rsidRDefault="00F12BC1">
            <w:pPr>
              <w:pBdr>
                <w:top w:val="nil"/>
                <w:left w:val="nil"/>
                <w:bottom w:val="nil"/>
                <w:right w:val="nil"/>
                <w:between w:val="nil"/>
              </w:pBdr>
            </w:pPr>
          </w:p>
        </w:tc>
        <w:tc>
          <w:tcPr>
            <w:tcW w:w="7425" w:type="dxa"/>
            <w:vMerge/>
          </w:tcPr>
          <w:p w14:paraId="030552FB" w14:textId="77777777" w:rsidR="00F12BC1" w:rsidRDefault="00F12BC1">
            <w:pPr>
              <w:widowControl w:val="0"/>
              <w:pBdr>
                <w:top w:val="nil"/>
                <w:left w:val="nil"/>
                <w:bottom w:val="nil"/>
                <w:right w:val="nil"/>
                <w:between w:val="nil"/>
              </w:pBdr>
              <w:spacing w:line="276" w:lineRule="auto"/>
            </w:pPr>
          </w:p>
        </w:tc>
      </w:tr>
      <w:tr w:rsidR="00F12BC1" w14:paraId="1F9C2BA4" w14:textId="77777777">
        <w:trPr>
          <w:trHeight w:val="9921"/>
        </w:trPr>
        <w:tc>
          <w:tcPr>
            <w:tcW w:w="3270" w:type="dxa"/>
            <w:tcBorders>
              <w:top w:val="nil"/>
              <w:bottom w:val="single" w:sz="4" w:space="0" w:color="000000"/>
            </w:tcBorders>
          </w:tcPr>
          <w:p w14:paraId="144433E1" w14:textId="1786F18B" w:rsidR="00421C7F" w:rsidRDefault="000A4F4E">
            <w:pPr>
              <w:pBdr>
                <w:top w:val="nil"/>
                <w:left w:val="nil"/>
                <w:bottom w:val="nil"/>
                <w:right w:val="nil"/>
                <w:between w:val="nil"/>
              </w:pBdr>
            </w:pPr>
            <w:r>
              <w:t>What is KTP?</w:t>
            </w:r>
          </w:p>
          <w:p w14:paraId="55B47263" w14:textId="77777777" w:rsidR="00F12BC1" w:rsidRDefault="000A4F4E">
            <w:pPr>
              <w:pBdr>
                <w:top w:val="nil"/>
                <w:left w:val="nil"/>
                <w:bottom w:val="nil"/>
                <w:right w:val="nil"/>
                <w:between w:val="nil"/>
              </w:pBdr>
            </w:pPr>
            <w:r>
              <w:t>Knowledge Transfer Partnerships (KTP), a government-funded scheme, brings together universities and businesses to work together on a development project that is strategically important to an organisation's future.</w:t>
            </w:r>
          </w:p>
          <w:p w14:paraId="06952340" w14:textId="77777777" w:rsidR="00F12BC1" w:rsidRDefault="00F12BC1">
            <w:pPr>
              <w:pBdr>
                <w:top w:val="nil"/>
                <w:left w:val="nil"/>
                <w:bottom w:val="nil"/>
                <w:right w:val="nil"/>
                <w:between w:val="nil"/>
              </w:pBdr>
            </w:pPr>
          </w:p>
          <w:p w14:paraId="2275F537" w14:textId="77777777" w:rsidR="00F12BC1" w:rsidRDefault="000A4F4E">
            <w:pPr>
              <w:pBdr>
                <w:top w:val="nil"/>
                <w:left w:val="nil"/>
                <w:bottom w:val="nil"/>
                <w:right w:val="nil"/>
                <w:between w:val="nil"/>
              </w:pBdr>
            </w:pPr>
            <w:r>
              <w:t>How does it work?</w:t>
            </w:r>
          </w:p>
          <w:p w14:paraId="224D03D7" w14:textId="77777777" w:rsidR="00F12BC1" w:rsidRDefault="000A4F4E">
            <w:pPr>
              <w:pBdr>
                <w:top w:val="nil"/>
                <w:left w:val="nil"/>
                <w:bottom w:val="nil"/>
                <w:right w:val="nil"/>
                <w:between w:val="nil"/>
              </w:pBdr>
            </w:pPr>
            <w:r>
              <w:t xml:space="preserve">KTP Associate employed by the University and works full time with a company to deliver the objectives of a highly innovative development project.  </w:t>
            </w:r>
          </w:p>
          <w:p w14:paraId="7F99262B" w14:textId="77777777" w:rsidR="00F12BC1" w:rsidRDefault="00F12BC1">
            <w:pPr>
              <w:pBdr>
                <w:top w:val="nil"/>
                <w:left w:val="nil"/>
                <w:bottom w:val="nil"/>
                <w:right w:val="nil"/>
                <w:between w:val="nil"/>
              </w:pBdr>
            </w:pPr>
          </w:p>
          <w:p w14:paraId="315A425F" w14:textId="77777777" w:rsidR="00F12BC1" w:rsidRDefault="000A4F4E">
            <w:pPr>
              <w:pBdr>
                <w:top w:val="nil"/>
                <w:left w:val="nil"/>
                <w:bottom w:val="nil"/>
                <w:right w:val="nil"/>
                <w:between w:val="nil"/>
              </w:pBdr>
            </w:pPr>
            <w:r>
              <w:t>What can KTP offer:</w:t>
            </w:r>
          </w:p>
          <w:p w14:paraId="6EB10F00" w14:textId="77777777" w:rsidR="00F12BC1" w:rsidRDefault="00F12BC1">
            <w:pPr>
              <w:pBdr>
                <w:top w:val="nil"/>
                <w:left w:val="nil"/>
                <w:bottom w:val="nil"/>
                <w:right w:val="nil"/>
                <w:between w:val="nil"/>
              </w:pBdr>
            </w:pPr>
          </w:p>
          <w:p w14:paraId="199960B3" w14:textId="77777777" w:rsidR="00F12BC1" w:rsidRDefault="000A4F4E">
            <w:pPr>
              <w:numPr>
                <w:ilvl w:val="0"/>
                <w:numId w:val="1"/>
              </w:numPr>
              <w:pBdr>
                <w:top w:val="nil"/>
                <w:left w:val="nil"/>
                <w:bottom w:val="nil"/>
                <w:right w:val="nil"/>
                <w:between w:val="nil"/>
              </w:pBdr>
            </w:pPr>
            <w:r>
              <w:t>£</w:t>
            </w:r>
            <w:r w:rsidR="007F63DD">
              <w:t>6</w:t>
            </w:r>
            <w:r>
              <w:t>,000 training budget</w:t>
            </w:r>
          </w:p>
          <w:p w14:paraId="2C1F6382" w14:textId="77777777" w:rsidR="00F12BC1" w:rsidRDefault="000A4F4E">
            <w:pPr>
              <w:numPr>
                <w:ilvl w:val="0"/>
                <w:numId w:val="1"/>
              </w:numPr>
              <w:pBdr>
                <w:top w:val="nil"/>
                <w:left w:val="nil"/>
                <w:bottom w:val="nil"/>
                <w:right w:val="nil"/>
                <w:between w:val="nil"/>
              </w:pBdr>
            </w:pPr>
            <w:r>
              <w:t xml:space="preserve">Attendance at 2 </w:t>
            </w:r>
            <w:proofErr w:type="gramStart"/>
            <w:r>
              <w:t>one week</w:t>
            </w:r>
            <w:proofErr w:type="gramEnd"/>
            <w:r>
              <w:t xml:space="preserve"> management residential workshops</w:t>
            </w:r>
          </w:p>
          <w:p w14:paraId="4B3939B5" w14:textId="62618EB5" w:rsidR="00F12BC1" w:rsidRDefault="000A4F4E">
            <w:pPr>
              <w:numPr>
                <w:ilvl w:val="0"/>
                <w:numId w:val="1"/>
              </w:numPr>
              <w:pBdr>
                <w:top w:val="nil"/>
                <w:left w:val="nil"/>
                <w:bottom w:val="nil"/>
                <w:right w:val="nil"/>
                <w:between w:val="nil"/>
              </w:pBdr>
            </w:pPr>
            <w:r>
              <w:t>Acceleration for your career</w:t>
            </w:r>
          </w:p>
          <w:p w14:paraId="6D67B988" w14:textId="77777777" w:rsidR="00F12BC1" w:rsidRDefault="000A4F4E">
            <w:pPr>
              <w:numPr>
                <w:ilvl w:val="0"/>
                <w:numId w:val="1"/>
              </w:numPr>
              <w:pBdr>
                <w:top w:val="nil"/>
                <w:left w:val="nil"/>
                <w:bottom w:val="nil"/>
                <w:right w:val="nil"/>
                <w:between w:val="nil"/>
              </w:pBdr>
            </w:pPr>
            <w:r>
              <w:t>A competitive salary</w:t>
            </w:r>
          </w:p>
          <w:p w14:paraId="3F457C02" w14:textId="77777777" w:rsidR="00F12BC1" w:rsidRDefault="000A4F4E">
            <w:pPr>
              <w:numPr>
                <w:ilvl w:val="0"/>
                <w:numId w:val="1"/>
              </w:numPr>
              <w:pBdr>
                <w:top w:val="nil"/>
                <w:left w:val="nil"/>
                <w:bottom w:val="nil"/>
                <w:right w:val="nil"/>
                <w:between w:val="nil"/>
              </w:pBdr>
            </w:pPr>
            <w:r>
              <w:t>The opportunity to lead and manage a highly innovative and strategic project</w:t>
            </w:r>
          </w:p>
          <w:p w14:paraId="67B33E41" w14:textId="77777777" w:rsidR="00F12BC1" w:rsidRDefault="000A4F4E">
            <w:pPr>
              <w:numPr>
                <w:ilvl w:val="0"/>
                <w:numId w:val="1"/>
              </w:numPr>
              <w:pBdr>
                <w:top w:val="nil"/>
                <w:left w:val="nil"/>
                <w:bottom w:val="nil"/>
                <w:right w:val="nil"/>
                <w:between w:val="nil"/>
              </w:pBdr>
            </w:pPr>
            <w:r>
              <w:t>The support of an academic team from the University</w:t>
            </w:r>
          </w:p>
          <w:p w14:paraId="6268222C" w14:textId="77777777" w:rsidR="00F12BC1" w:rsidRDefault="000A4F4E">
            <w:pPr>
              <w:numPr>
                <w:ilvl w:val="0"/>
                <w:numId w:val="1"/>
              </w:numPr>
              <w:pBdr>
                <w:top w:val="nil"/>
                <w:left w:val="nil"/>
                <w:bottom w:val="nil"/>
                <w:right w:val="nil"/>
                <w:between w:val="nil"/>
              </w:pBdr>
            </w:pPr>
            <w:r>
              <w:t>The possibility of a permanent post with the company</w:t>
            </w:r>
          </w:p>
          <w:p w14:paraId="4FF3D4AA" w14:textId="77777777" w:rsidR="00F12BC1" w:rsidRDefault="000A4F4E">
            <w:pPr>
              <w:numPr>
                <w:ilvl w:val="0"/>
                <w:numId w:val="1"/>
              </w:numPr>
              <w:pBdr>
                <w:top w:val="nil"/>
                <w:left w:val="nil"/>
                <w:bottom w:val="nil"/>
                <w:right w:val="nil"/>
                <w:between w:val="nil"/>
              </w:pBdr>
            </w:pPr>
            <w:r>
              <w:t>The possibility of working towards a higher degree</w:t>
            </w:r>
          </w:p>
        </w:tc>
        <w:tc>
          <w:tcPr>
            <w:tcW w:w="7425" w:type="dxa"/>
            <w:vMerge/>
          </w:tcPr>
          <w:p w14:paraId="58326010" w14:textId="77777777" w:rsidR="00F12BC1" w:rsidRDefault="00F12BC1">
            <w:pPr>
              <w:widowControl w:val="0"/>
              <w:pBdr>
                <w:top w:val="nil"/>
                <w:left w:val="nil"/>
                <w:bottom w:val="nil"/>
                <w:right w:val="nil"/>
                <w:between w:val="nil"/>
              </w:pBdr>
              <w:spacing w:line="276" w:lineRule="auto"/>
            </w:pPr>
          </w:p>
        </w:tc>
      </w:tr>
    </w:tbl>
    <w:p w14:paraId="454306A6" w14:textId="77777777" w:rsidR="00F12BC1" w:rsidRDefault="00F12BC1" w:rsidP="00790FBC"/>
    <w:sectPr w:rsidR="00F12BC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354"/>
    <w:multiLevelType w:val="multilevel"/>
    <w:tmpl w:val="87C88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BC1"/>
    <w:rsid w:val="00015713"/>
    <w:rsid w:val="00087422"/>
    <w:rsid w:val="000A4F4E"/>
    <w:rsid w:val="0033396D"/>
    <w:rsid w:val="00421C7F"/>
    <w:rsid w:val="0048617F"/>
    <w:rsid w:val="006C091F"/>
    <w:rsid w:val="006C39DD"/>
    <w:rsid w:val="00790FBC"/>
    <w:rsid w:val="007F63DD"/>
    <w:rsid w:val="00835DAE"/>
    <w:rsid w:val="009062DE"/>
    <w:rsid w:val="00BF64A1"/>
    <w:rsid w:val="00C63468"/>
    <w:rsid w:val="00DD33D0"/>
    <w:rsid w:val="00E42DC5"/>
    <w:rsid w:val="00F12BC1"/>
    <w:rsid w:val="00F32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3524"/>
  <w15:docId w15:val="{13FE6CB7-6B65-4003-BBF5-904695B0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B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62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FAF"/>
    <w:rPr>
      <w:rFonts w:ascii="Tahoma" w:hAnsi="Tahoma" w:cs="Tahoma"/>
      <w:sz w:val="16"/>
      <w:szCs w:val="16"/>
    </w:rPr>
  </w:style>
  <w:style w:type="character" w:customStyle="1" w:styleId="BalloonTextChar">
    <w:name w:val="Balloon Text Char"/>
    <w:basedOn w:val="DefaultParagraphFont"/>
    <w:link w:val="BalloonText"/>
    <w:uiPriority w:val="99"/>
    <w:semiHidden/>
    <w:rsid w:val="00762FAF"/>
    <w:rPr>
      <w:rFonts w:ascii="Tahoma" w:hAnsi="Tahoma" w:cs="Tahoma"/>
      <w:sz w:val="16"/>
      <w:szCs w:val="16"/>
    </w:rPr>
  </w:style>
  <w:style w:type="paragraph" w:styleId="ListParagraph">
    <w:name w:val="List Paragraph"/>
    <w:basedOn w:val="Normal"/>
    <w:uiPriority w:val="34"/>
    <w:qFormat/>
    <w:rsid w:val="0043605C"/>
    <w:pPr>
      <w:ind w:left="720"/>
      <w:contextualSpacing/>
    </w:pPr>
  </w:style>
  <w:style w:type="character" w:styleId="Hyperlink">
    <w:name w:val="Hyperlink"/>
    <w:basedOn w:val="DefaultParagraphFont"/>
    <w:uiPriority w:val="99"/>
    <w:unhideWhenUsed/>
    <w:rsid w:val="006C4910"/>
    <w:rPr>
      <w:color w:val="0000FF" w:themeColor="hyperlink"/>
      <w:u w:val="single"/>
    </w:rPr>
  </w:style>
  <w:style w:type="character" w:styleId="FollowedHyperlink">
    <w:name w:val="FollowedHyperlink"/>
    <w:basedOn w:val="DefaultParagraphFont"/>
    <w:uiPriority w:val="99"/>
    <w:semiHidden/>
    <w:unhideWhenUsed/>
    <w:rsid w:val="0051225F"/>
    <w:rPr>
      <w:color w:val="800080" w:themeColor="followedHyperlink"/>
      <w:u w:val="single"/>
    </w:rPr>
  </w:style>
  <w:style w:type="character" w:styleId="CommentReference">
    <w:name w:val="annotation reference"/>
    <w:basedOn w:val="DefaultParagraphFont"/>
    <w:uiPriority w:val="99"/>
    <w:semiHidden/>
    <w:unhideWhenUsed/>
    <w:rsid w:val="008D7018"/>
    <w:rPr>
      <w:sz w:val="16"/>
      <w:szCs w:val="16"/>
    </w:rPr>
  </w:style>
  <w:style w:type="paragraph" w:styleId="CommentText">
    <w:name w:val="annotation text"/>
    <w:basedOn w:val="Normal"/>
    <w:link w:val="CommentTextChar"/>
    <w:uiPriority w:val="99"/>
    <w:semiHidden/>
    <w:unhideWhenUsed/>
    <w:rsid w:val="008D7018"/>
    <w:rPr>
      <w:sz w:val="20"/>
      <w:szCs w:val="20"/>
    </w:rPr>
  </w:style>
  <w:style w:type="character" w:customStyle="1" w:styleId="CommentTextChar">
    <w:name w:val="Comment Text Char"/>
    <w:basedOn w:val="DefaultParagraphFont"/>
    <w:link w:val="CommentText"/>
    <w:uiPriority w:val="99"/>
    <w:semiHidden/>
    <w:rsid w:val="008D7018"/>
    <w:rPr>
      <w:sz w:val="20"/>
      <w:szCs w:val="20"/>
    </w:rPr>
  </w:style>
  <w:style w:type="paragraph" w:styleId="CommentSubject">
    <w:name w:val="annotation subject"/>
    <w:basedOn w:val="CommentText"/>
    <w:next w:val="CommentText"/>
    <w:link w:val="CommentSubjectChar"/>
    <w:uiPriority w:val="99"/>
    <w:semiHidden/>
    <w:unhideWhenUsed/>
    <w:rsid w:val="008D7018"/>
    <w:rPr>
      <w:b/>
      <w:bCs/>
    </w:rPr>
  </w:style>
  <w:style w:type="character" w:customStyle="1" w:styleId="CommentSubjectChar">
    <w:name w:val="Comment Subject Char"/>
    <w:basedOn w:val="CommentTextChar"/>
    <w:link w:val="CommentSubject"/>
    <w:uiPriority w:val="99"/>
    <w:semiHidden/>
    <w:rsid w:val="008D7018"/>
    <w:rPr>
      <w:b/>
      <w:bCs/>
      <w:sz w:val="20"/>
      <w:szCs w:val="20"/>
    </w:rPr>
  </w:style>
  <w:style w:type="paragraph" w:styleId="Revision">
    <w:name w:val="Revision"/>
    <w:hidden/>
    <w:semiHidden/>
    <w:rsid w:val="00D22803"/>
  </w:style>
  <w:style w:type="character" w:customStyle="1" w:styleId="UnresolvedMention1">
    <w:name w:val="Unresolved Mention1"/>
    <w:basedOn w:val="DefaultParagraphFont"/>
    <w:rsid w:val="009D5C75"/>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E91F36"/>
    <w:rPr>
      <w:color w:val="605E5C"/>
      <w:shd w:val="clear" w:color="auto" w:fill="E1DFDD"/>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90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fortisib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eJLBDB8t4oRk1SIxNt9+/0DUQ==">AMUW2mX7pyrHpB8QHEm+XXJp1gg+VpcDdxWTgalFJrkSw2x7IuWKzFIyQs1EHvtJUaUYh6panc5Jo+J1Mw3YNVeyolSgmIdgWkm346tTFZOsbCCucM6Gb0TUwERtENFTsQln8EWtojMU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ProsserG</dc:creator>
  <cp:lastModifiedBy>Ryan Harris</cp:lastModifiedBy>
  <cp:revision>2</cp:revision>
  <dcterms:created xsi:type="dcterms:W3CDTF">2023-01-24T15:41:00Z</dcterms:created>
  <dcterms:modified xsi:type="dcterms:W3CDTF">2023-01-24T15:41:00Z</dcterms:modified>
</cp:coreProperties>
</file>